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Default="004540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205E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</w:t>
      </w:r>
      <w:r w:rsidR="00C7123E">
        <w:rPr>
          <w:b/>
          <w:bCs/>
          <w:sz w:val="24"/>
          <w:szCs w:val="24"/>
        </w:rPr>
        <w:t>, 2024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45403E">
        <w:rPr>
          <w:sz w:val="24"/>
          <w:szCs w:val="24"/>
        </w:rPr>
        <w:t>16</w:t>
      </w:r>
      <w:r w:rsidR="00283B6A" w:rsidRPr="00283B6A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r w:rsidR="0045403E">
        <w:rPr>
          <w:sz w:val="24"/>
          <w:szCs w:val="24"/>
        </w:rPr>
        <w:t>May</w:t>
      </w:r>
      <w:r w:rsidR="00DA07B4">
        <w:rPr>
          <w:sz w:val="24"/>
          <w:szCs w:val="24"/>
        </w:rPr>
        <w:t xml:space="preserve"> 2024</w:t>
      </w:r>
      <w:r w:rsidRPr="003E14FE">
        <w:rPr>
          <w:sz w:val="24"/>
          <w:szCs w:val="24"/>
        </w:rPr>
        <w:t xml:space="preserve"> at the Town Office Building, Cedar Street, </w:t>
      </w:r>
      <w:proofErr w:type="gramStart"/>
      <w:r w:rsidRPr="003E14FE">
        <w:rPr>
          <w:sz w:val="24"/>
          <w:szCs w:val="24"/>
        </w:rPr>
        <w:t>Morrisville</w:t>
      </w:r>
      <w:proofErr w:type="gramEnd"/>
      <w:r w:rsidRPr="003E14FE">
        <w:rPr>
          <w:sz w:val="24"/>
          <w:szCs w:val="24"/>
        </w:rPr>
        <w:t>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CF0D98" w:rsidRPr="003E14FE" w:rsidRDefault="00084D2B" w:rsidP="00CF0D98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CF0D98">
        <w:rPr>
          <w:sz w:val="24"/>
          <w:szCs w:val="24"/>
        </w:rPr>
        <w:t>Charles Page</w:t>
      </w:r>
      <w:r w:rsidR="00CF0D98">
        <w:rPr>
          <w:sz w:val="24"/>
          <w:szCs w:val="24"/>
        </w:rPr>
        <w:tab/>
        <w:t xml:space="preserve">           Vice-Chairperson</w:t>
      </w:r>
    </w:p>
    <w:p w:rsidR="0045403E" w:rsidRDefault="00CF0D98" w:rsidP="00032A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Denise Lodor-Morris</w:t>
      </w:r>
      <w:r>
        <w:rPr>
          <w:sz w:val="24"/>
          <w:szCs w:val="24"/>
        </w:rPr>
        <w:tab/>
        <w:t>Planning Board member</w:t>
      </w:r>
      <w:r w:rsidR="001F2BFB">
        <w:rPr>
          <w:sz w:val="24"/>
          <w:szCs w:val="24"/>
        </w:rPr>
        <w:t xml:space="preserve"> (substitute for ZBA)</w:t>
      </w:r>
    </w:p>
    <w:p w:rsidR="006F1E99" w:rsidRDefault="00084D2B" w:rsidP="0045403E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CF0D98">
        <w:rPr>
          <w:sz w:val="24"/>
          <w:szCs w:val="24"/>
        </w:rPr>
        <w:t xml:space="preserve">Michael Mazza          </w:t>
      </w:r>
      <w:r w:rsidR="001F2BFB">
        <w:rPr>
          <w:sz w:val="24"/>
          <w:szCs w:val="24"/>
        </w:rPr>
        <w:t xml:space="preserve"> </w:t>
      </w:r>
      <w:r w:rsidR="00CF0D98" w:rsidRPr="003E14FE">
        <w:rPr>
          <w:sz w:val="24"/>
          <w:szCs w:val="24"/>
        </w:rPr>
        <w:t>Chairperson</w:t>
      </w:r>
    </w:p>
    <w:p w:rsidR="000563F3" w:rsidRDefault="006F1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BFB">
        <w:rPr>
          <w:sz w:val="24"/>
          <w:szCs w:val="24"/>
        </w:rPr>
        <w:t>Karen Jacobs</w:t>
      </w:r>
      <w:r w:rsidR="001F2BFB">
        <w:rPr>
          <w:sz w:val="24"/>
          <w:szCs w:val="24"/>
        </w:rPr>
        <w:tab/>
      </w:r>
      <w:r w:rsidR="001F2BFB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>Secretary</w:t>
      </w: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123E" w:rsidRDefault="006F1E99" w:rsidP="00283B6A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</w:r>
      <w:proofErr w:type="gramStart"/>
      <w:r w:rsidR="00CF0D98">
        <w:rPr>
          <w:sz w:val="24"/>
          <w:szCs w:val="24"/>
        </w:rPr>
        <w:t>1</w:t>
      </w:r>
      <w:proofErr w:type="gramEnd"/>
      <w:r w:rsidR="00CF0D98">
        <w:rPr>
          <w:sz w:val="24"/>
          <w:szCs w:val="24"/>
        </w:rPr>
        <w:t xml:space="preserve"> applicant representative</w:t>
      </w:r>
    </w:p>
    <w:p w:rsidR="0045403E" w:rsidRDefault="0045403E" w:rsidP="00283B6A">
      <w:pPr>
        <w:ind w:left="720"/>
        <w:rPr>
          <w:sz w:val="24"/>
          <w:szCs w:val="24"/>
        </w:rPr>
      </w:pPr>
    </w:p>
    <w:p w:rsidR="0045403E" w:rsidRDefault="0045403E" w:rsidP="00CF0D98">
      <w:pPr>
        <w:ind w:left="720"/>
        <w:rPr>
          <w:sz w:val="24"/>
          <w:szCs w:val="24"/>
        </w:rPr>
      </w:pPr>
      <w:r>
        <w:rPr>
          <w:sz w:val="24"/>
          <w:szCs w:val="24"/>
        </w:rPr>
        <w:t>Absent: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4FE">
        <w:rPr>
          <w:sz w:val="24"/>
          <w:szCs w:val="24"/>
        </w:rPr>
        <w:t>Fenton Groves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  <w:t>Member</w:t>
      </w:r>
    </w:p>
    <w:p w:rsidR="0045403E" w:rsidRDefault="0045403E" w:rsidP="0045403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Donald Bigelow</w:t>
      </w:r>
      <w:r>
        <w:rPr>
          <w:sz w:val="24"/>
          <w:szCs w:val="24"/>
        </w:rPr>
        <w:tab/>
        <w:t xml:space="preserve">Member    </w:t>
      </w:r>
    </w:p>
    <w:p w:rsidR="0045403E" w:rsidRDefault="0045403E" w:rsidP="0045403E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Shane Gallup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30467D" w:rsidRDefault="00144781" w:rsidP="0030467D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5E49" w:rsidRDefault="00CF0D98" w:rsidP="00B31C28">
      <w:pPr>
        <w:jc w:val="both"/>
        <w:rPr>
          <w:sz w:val="24"/>
          <w:szCs w:val="24"/>
        </w:rPr>
      </w:pPr>
      <w:r>
        <w:rPr>
          <w:sz w:val="24"/>
          <w:szCs w:val="24"/>
        </w:rPr>
        <w:t>Vice-</w:t>
      </w:r>
      <w:r w:rsidR="007343CE">
        <w:rPr>
          <w:sz w:val="24"/>
          <w:szCs w:val="24"/>
        </w:rPr>
        <w:t xml:space="preserve">Chairperson </w:t>
      </w:r>
      <w:r>
        <w:rPr>
          <w:sz w:val="24"/>
          <w:szCs w:val="24"/>
        </w:rPr>
        <w:t>Page</w:t>
      </w:r>
      <w:r w:rsidR="00685EE2">
        <w:rPr>
          <w:sz w:val="24"/>
          <w:szCs w:val="24"/>
        </w:rPr>
        <w:t xml:space="preserve"> opened the meeting at </w:t>
      </w:r>
      <w:r>
        <w:rPr>
          <w:sz w:val="24"/>
          <w:szCs w:val="24"/>
        </w:rPr>
        <w:t>7:00</w:t>
      </w:r>
      <w:r w:rsidR="00084D2B" w:rsidRPr="003E14FE">
        <w:rPr>
          <w:sz w:val="24"/>
          <w:szCs w:val="24"/>
        </w:rPr>
        <w:t xml:space="preserve">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</w:p>
    <w:p w:rsidR="002E0528" w:rsidRPr="00F81623" w:rsidRDefault="0075647C" w:rsidP="00B31C28">
      <w:pPr>
        <w:jc w:val="both"/>
        <w:rPr>
          <w:sz w:val="24"/>
          <w:szCs w:val="24"/>
        </w:rPr>
      </w:pPr>
      <w:r>
        <w:rPr>
          <w:sz w:val="24"/>
          <w:szCs w:val="24"/>
        </w:rPr>
        <w:t>April 18</w:t>
      </w:r>
      <w:r w:rsidR="00205E49">
        <w:rPr>
          <w:sz w:val="24"/>
          <w:szCs w:val="24"/>
        </w:rPr>
        <w:t>, 2024</w:t>
      </w:r>
      <w:r w:rsidR="00084D2B" w:rsidRPr="003E14FE">
        <w:rPr>
          <w:sz w:val="24"/>
          <w:szCs w:val="24"/>
        </w:rPr>
        <w:t xml:space="preserve"> meeting </w:t>
      </w:r>
      <w:proofErr w:type="gramStart"/>
      <w:r w:rsidR="00084D2B" w:rsidRPr="003E14FE">
        <w:rPr>
          <w:sz w:val="24"/>
          <w:szCs w:val="24"/>
        </w:rPr>
        <w:t>were accepted</w:t>
      </w:r>
      <w:proofErr w:type="gramEnd"/>
      <w:r w:rsidR="00084D2B" w:rsidRPr="003E14FE">
        <w:rPr>
          <w:sz w:val="24"/>
          <w:szCs w:val="24"/>
        </w:rPr>
        <w:t xml:space="preserve"> as printed.</w:t>
      </w:r>
    </w:p>
    <w:p w:rsidR="00D55923" w:rsidRPr="002E0528" w:rsidRDefault="00D55923">
      <w:pPr>
        <w:rPr>
          <w:b/>
          <w:sz w:val="24"/>
          <w:szCs w:val="24"/>
          <w:u w:val="single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  <w:r w:rsidR="002E0528">
        <w:rPr>
          <w:b/>
          <w:bCs/>
          <w:color w:val="000000"/>
          <w:sz w:val="24"/>
          <w:szCs w:val="24"/>
          <w:u w:val="single"/>
          <w:shd w:val="clear" w:color="auto" w:fill="FFFFFF"/>
        </w:rPr>
        <w:t>s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CF0D98" w:rsidRPr="00CF0D98" w:rsidRDefault="00CF0D98" w:rsidP="00CF0D98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CF0D98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7:00 </w:t>
      </w:r>
      <w:proofErr w:type="spellStart"/>
      <w:r w:rsidRPr="00CF0D98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p.m</w:t>
      </w:r>
      <w:proofErr w:type="spellEnd"/>
      <w:r w:rsidRPr="00CF0D98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  <w:r w:rsidRPr="00CF0D98">
        <w:rPr>
          <w:color w:val="000000"/>
          <w:sz w:val="24"/>
          <w:szCs w:val="24"/>
          <w:shd w:val="clear" w:color="auto" w:fill="FFFFFF"/>
          <w:lang w:bidi="hi-IN"/>
        </w:rPr>
        <w:t>– Joseph &amp; Mary</w:t>
      </w:r>
      <w:r w:rsidRPr="00CF0D98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  <w:r w:rsidRPr="00CF0D98">
        <w:rPr>
          <w:color w:val="000000"/>
          <w:sz w:val="24"/>
          <w:szCs w:val="24"/>
          <w:shd w:val="clear" w:color="auto" w:fill="FFFFFF"/>
          <w:lang w:bidi="hi-IN"/>
        </w:rPr>
        <w:t>Blair, PO Box 2607 Manchester Ctr., Vermont, 05255, have applied for an area variance in order to build a 2-car garage on the opposite side of Paddleford Rd., in front of the residence.</w:t>
      </w:r>
    </w:p>
    <w:p w:rsidR="00BF6D64" w:rsidRPr="00BF6D64" w:rsidRDefault="00BF6D64" w:rsidP="00BF6D64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DF42C6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 w:rsidR="00CF0D98">
        <w:rPr>
          <w:color w:val="000000"/>
          <w:sz w:val="24"/>
          <w:szCs w:val="24"/>
          <w:highlight w:val="white"/>
          <w:shd w:val="clear" w:color="auto" w:fill="FFFFFF"/>
        </w:rPr>
        <w:t>opened at 7:02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 xml:space="preserve">David Blair was present to represent the </w:t>
      </w:r>
      <w:proofErr w:type="spellStart"/>
      <w:r w:rsidR="002369EE">
        <w:rPr>
          <w:color w:val="000000"/>
          <w:sz w:val="24"/>
          <w:szCs w:val="24"/>
          <w:highlight w:val="white"/>
          <w:shd w:val="clear" w:color="auto" w:fill="FFFFFF"/>
        </w:rPr>
        <w:t>applicatnt</w:t>
      </w:r>
      <w:proofErr w:type="spellEnd"/>
      <w:r w:rsidR="002369EE">
        <w:rPr>
          <w:color w:val="000000"/>
          <w:sz w:val="24"/>
          <w:szCs w:val="24"/>
          <w:highlight w:val="white"/>
          <w:shd w:val="clear" w:color="auto" w:fill="FFFFFF"/>
        </w:rPr>
        <w:t xml:space="preserve">. 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The Madison County Planning Department GML Recommendation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CF0D98">
        <w:rPr>
          <w:color w:val="000000"/>
          <w:sz w:val="24"/>
          <w:szCs w:val="24"/>
          <w:highlight w:val="white"/>
          <w:shd w:val="clear" w:color="auto" w:fill="FFFFFF"/>
        </w:rPr>
        <w:t>not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 xml:space="preserve"> needed</w:t>
      </w:r>
      <w:proofErr w:type="gramEnd"/>
      <w:r w:rsidR="00292CE4">
        <w:rPr>
          <w:color w:val="000000"/>
          <w:sz w:val="24"/>
          <w:szCs w:val="24"/>
          <w:highlight w:val="white"/>
          <w:shd w:val="clear" w:color="auto" w:fill="FFFFFF"/>
        </w:rPr>
        <w:t xml:space="preserve">.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There were 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 xml:space="preserve">no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 xml:space="preserve"> Vice-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t</w:t>
      </w:r>
      <w:r w:rsidR="00D55923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hearing. 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 xml:space="preserve">Board member 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292CE4">
        <w:rPr>
          <w:color w:val="000000"/>
          <w:sz w:val="24"/>
          <w:szCs w:val="24"/>
          <w:highlight w:val="white"/>
          <w:shd w:val="clear" w:color="auto" w:fill="FFFFFF"/>
        </w:rPr>
        <w:t>7:</w:t>
      </w:r>
      <w:r w:rsidR="002369EE">
        <w:rPr>
          <w:color w:val="000000"/>
          <w:sz w:val="24"/>
          <w:szCs w:val="24"/>
          <w:highlight w:val="white"/>
          <w:shd w:val="clear" w:color="auto" w:fill="FFFFFF"/>
        </w:rPr>
        <w:t>23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A345A8" w:rsidRDefault="00A345A8" w:rsidP="0029794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297947" w:rsidRDefault="002369E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Blair</w:t>
      </w:r>
    </w:p>
    <w:p w:rsidR="002369EE" w:rsidRDefault="002369E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53169B" w:rsidP="00DF42C6">
      <w:pPr>
        <w:rPr>
          <w:sz w:val="24"/>
          <w:szCs w:val="24"/>
        </w:rPr>
      </w:pPr>
      <w:r>
        <w:rPr>
          <w:sz w:val="24"/>
          <w:szCs w:val="24"/>
        </w:rPr>
        <w:t>Board m</w:t>
      </w:r>
      <w:r w:rsidR="00D73305">
        <w:rPr>
          <w:sz w:val="24"/>
          <w:szCs w:val="24"/>
        </w:rPr>
        <w:t xml:space="preserve">ember </w:t>
      </w:r>
      <w:r w:rsidR="002369EE">
        <w:rPr>
          <w:sz w:val="24"/>
          <w:szCs w:val="24"/>
        </w:rPr>
        <w:t>Denise Lodor-Morris</w:t>
      </w:r>
      <w:r w:rsidR="00DF42C6">
        <w:rPr>
          <w:sz w:val="24"/>
          <w:szCs w:val="24"/>
        </w:rPr>
        <w:t xml:space="preserve"> made a motion for a negative SEQR.  Board member </w:t>
      </w:r>
      <w:r w:rsidR="002369EE">
        <w:rPr>
          <w:sz w:val="24"/>
          <w:szCs w:val="24"/>
        </w:rPr>
        <w:t>Page</w:t>
      </w:r>
      <w:r w:rsidR="00DF42C6">
        <w:rPr>
          <w:sz w:val="24"/>
          <w:szCs w:val="24"/>
        </w:rPr>
        <w:t xml:space="preserve"> seconded.  All ayes.</w:t>
      </w:r>
    </w:p>
    <w:p w:rsidR="00DF42C6" w:rsidRDefault="00DF42C6" w:rsidP="00DF42C6">
      <w:pPr>
        <w:rPr>
          <w:sz w:val="24"/>
          <w:szCs w:val="24"/>
        </w:rPr>
      </w:pPr>
    </w:p>
    <w:p w:rsidR="0062724D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After review and discussion, </w:t>
      </w:r>
      <w:r w:rsidR="002369EE">
        <w:rPr>
          <w:sz w:val="24"/>
          <w:szCs w:val="24"/>
        </w:rPr>
        <w:t>Board member</w:t>
      </w:r>
      <w:r w:rsidR="006A4021">
        <w:rPr>
          <w:sz w:val="24"/>
          <w:szCs w:val="24"/>
        </w:rPr>
        <w:t xml:space="preserve"> Page</w:t>
      </w:r>
      <w:r>
        <w:rPr>
          <w:sz w:val="24"/>
          <w:szCs w:val="24"/>
        </w:rPr>
        <w:t xml:space="preserve"> made a motion to approve th</w:t>
      </w:r>
      <w:r w:rsidR="0062724D">
        <w:rPr>
          <w:sz w:val="24"/>
          <w:szCs w:val="24"/>
        </w:rPr>
        <w:t>e variance request as presented and</w:t>
      </w:r>
      <w:r w:rsidR="00575297">
        <w:rPr>
          <w:sz w:val="24"/>
          <w:szCs w:val="24"/>
        </w:rPr>
        <w:t xml:space="preserve"> with the following condition</w:t>
      </w:r>
      <w:r w:rsidR="00D73305">
        <w:rPr>
          <w:sz w:val="24"/>
          <w:szCs w:val="24"/>
        </w:rPr>
        <w:t>s</w:t>
      </w:r>
      <w:r w:rsidR="00B235FC">
        <w:rPr>
          <w:sz w:val="24"/>
          <w:szCs w:val="24"/>
        </w:rPr>
        <w:t>:</w:t>
      </w:r>
    </w:p>
    <w:p w:rsidR="002369EE" w:rsidRDefault="002369EE" w:rsidP="00DF42C6">
      <w:pPr>
        <w:rPr>
          <w:sz w:val="24"/>
          <w:szCs w:val="24"/>
        </w:rPr>
      </w:pPr>
    </w:p>
    <w:p w:rsidR="002369EE" w:rsidRPr="002369EE" w:rsidRDefault="002369EE" w:rsidP="002369EE">
      <w:pPr>
        <w:ind w:left="1080"/>
        <w:contextualSpacing/>
        <w:rPr>
          <w:sz w:val="24"/>
          <w:szCs w:val="24"/>
        </w:rPr>
      </w:pPr>
      <w:r w:rsidRPr="002369EE">
        <w:rPr>
          <w:sz w:val="24"/>
          <w:szCs w:val="24"/>
        </w:rPr>
        <w:t xml:space="preserve">A variance of 40’ </w:t>
      </w:r>
      <w:proofErr w:type="gramStart"/>
      <w:r w:rsidRPr="002369EE">
        <w:rPr>
          <w:sz w:val="24"/>
          <w:szCs w:val="24"/>
        </w:rPr>
        <w:t>is granted</w:t>
      </w:r>
      <w:proofErr w:type="gramEnd"/>
      <w:r w:rsidRPr="002369EE">
        <w:rPr>
          <w:sz w:val="24"/>
          <w:szCs w:val="24"/>
        </w:rPr>
        <w:t xml:space="preserve"> from the front (road) side.  No building, including overhang, shall come closer than 10’ from this </w:t>
      </w:r>
      <w:proofErr w:type="gramStart"/>
      <w:r w:rsidRPr="002369EE">
        <w:rPr>
          <w:sz w:val="24"/>
          <w:szCs w:val="24"/>
        </w:rPr>
        <w:t>road side</w:t>
      </w:r>
      <w:proofErr w:type="gramEnd"/>
      <w:r w:rsidRPr="002369EE">
        <w:rPr>
          <w:sz w:val="24"/>
          <w:szCs w:val="24"/>
        </w:rPr>
        <w:t xml:space="preserve"> property line.</w:t>
      </w:r>
    </w:p>
    <w:p w:rsidR="002369EE" w:rsidRDefault="009422A3" w:rsidP="00DF42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369EE" w:rsidRDefault="001F4603" w:rsidP="00DF42C6">
      <w:r>
        <w:rPr>
          <w:sz w:val="24"/>
          <w:szCs w:val="24"/>
        </w:rPr>
        <w:t>The next step is for the applicant to contact the Codes Officer for a building permit</w:t>
      </w:r>
      <w:r w:rsidR="00C228F0">
        <w:rPr>
          <w:sz w:val="24"/>
          <w:szCs w:val="24"/>
        </w:rPr>
        <w:t xml:space="preserve">. </w:t>
      </w:r>
      <w:r w:rsidR="00C228F0">
        <w:t xml:space="preserve">   </w:t>
      </w:r>
    </w:p>
    <w:p w:rsidR="002369EE" w:rsidRDefault="002369EE" w:rsidP="00DF42C6"/>
    <w:p w:rsidR="00DF42C6" w:rsidRPr="002369EE" w:rsidRDefault="00C228F0" w:rsidP="00DF42C6">
      <w:pPr>
        <w:rPr>
          <w:sz w:val="24"/>
          <w:szCs w:val="24"/>
        </w:rPr>
      </w:pPr>
      <w:r>
        <w:t xml:space="preserve"> </w:t>
      </w:r>
      <w:r w:rsidR="00575297">
        <w:rPr>
          <w:sz w:val="24"/>
          <w:szCs w:val="24"/>
        </w:rPr>
        <w:t xml:space="preserve">Board member </w:t>
      </w:r>
      <w:r w:rsidR="002369EE">
        <w:rPr>
          <w:sz w:val="24"/>
          <w:szCs w:val="24"/>
        </w:rPr>
        <w:t>Lodor-Morris</w:t>
      </w:r>
      <w:r w:rsidR="00DF42C6">
        <w:rPr>
          <w:sz w:val="24"/>
          <w:szCs w:val="24"/>
        </w:rPr>
        <w:t xml:space="preserve"> seconded.  All ayes.</w:t>
      </w:r>
    </w:p>
    <w:p w:rsidR="009422A3" w:rsidRDefault="009422A3" w:rsidP="00DF42C6">
      <w:pPr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</w:pPr>
    </w:p>
    <w:p w:rsid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2369EE" w:rsidRDefault="002369EE" w:rsidP="003E14FE">
      <w:pPr>
        <w:rPr>
          <w:b/>
          <w:bCs/>
          <w:sz w:val="24"/>
          <w:szCs w:val="24"/>
          <w:u w:val="single"/>
        </w:rPr>
      </w:pPr>
    </w:p>
    <w:p w:rsidR="000563F3" w:rsidRPr="00785D8D" w:rsidRDefault="00E901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Vice-Chairperson Page</w:t>
      </w:r>
      <w:r w:rsidR="00C228F0">
        <w:rPr>
          <w:sz w:val="24"/>
          <w:szCs w:val="24"/>
        </w:rPr>
        <w:t xml:space="preserve"> </w:t>
      </w:r>
      <w:r w:rsidR="00084D2B" w:rsidRPr="003E14FE">
        <w:rPr>
          <w:sz w:val="24"/>
          <w:szCs w:val="24"/>
        </w:rPr>
        <w:t>made a motion to adjourn the meeting,</w:t>
      </w:r>
      <w:r w:rsidR="00833033">
        <w:rPr>
          <w:sz w:val="24"/>
          <w:szCs w:val="24"/>
        </w:rPr>
        <w:t xml:space="preserve"> seconded by </w:t>
      </w:r>
      <w:r w:rsidR="00C228F0">
        <w:rPr>
          <w:sz w:val="24"/>
          <w:szCs w:val="24"/>
        </w:rPr>
        <w:t xml:space="preserve">Board member </w:t>
      </w:r>
      <w:r w:rsidR="00514603">
        <w:rPr>
          <w:sz w:val="24"/>
          <w:szCs w:val="24"/>
        </w:rPr>
        <w:t>Lodor-Morris</w:t>
      </w:r>
      <w:r w:rsidR="00084D2B" w:rsidRPr="003E14FE">
        <w:rPr>
          <w:sz w:val="24"/>
          <w:szCs w:val="24"/>
        </w:rPr>
        <w:t xml:space="preserve">. </w:t>
      </w:r>
      <w:r w:rsidR="00ED0917">
        <w:rPr>
          <w:sz w:val="24"/>
          <w:szCs w:val="24"/>
        </w:rPr>
        <w:t xml:space="preserve"> </w:t>
      </w:r>
      <w:r w:rsidR="00084D2B" w:rsidRPr="003E14FE">
        <w:rPr>
          <w:sz w:val="24"/>
          <w:szCs w:val="24"/>
        </w:rPr>
        <w:t>T</w:t>
      </w:r>
      <w:r w:rsidR="00BD3706">
        <w:rPr>
          <w:sz w:val="24"/>
          <w:szCs w:val="24"/>
        </w:rPr>
        <w:t xml:space="preserve">he meeting </w:t>
      </w:r>
      <w:proofErr w:type="gramStart"/>
      <w:r w:rsidR="00BD3706">
        <w:rPr>
          <w:sz w:val="24"/>
          <w:szCs w:val="24"/>
        </w:rPr>
        <w:t>was adjourned</w:t>
      </w:r>
      <w:proofErr w:type="gramEnd"/>
      <w:r w:rsidR="002C357E">
        <w:rPr>
          <w:sz w:val="24"/>
          <w:szCs w:val="24"/>
        </w:rPr>
        <w:t xml:space="preserve"> at </w:t>
      </w:r>
      <w:r w:rsidR="00514603">
        <w:rPr>
          <w:sz w:val="24"/>
          <w:szCs w:val="24"/>
        </w:rPr>
        <w:t>7:31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 w:rsidSect="00493196">
      <w:pgSz w:w="12240" w:h="15840"/>
      <w:pgMar w:top="432" w:right="432" w:bottom="144" w:left="432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0AFC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137A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B7C62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84D2B"/>
    <w:rsid w:val="0009269B"/>
    <w:rsid w:val="00134F13"/>
    <w:rsid w:val="00144781"/>
    <w:rsid w:val="001F2BFB"/>
    <w:rsid w:val="001F4603"/>
    <w:rsid w:val="00202C0C"/>
    <w:rsid w:val="00205E49"/>
    <w:rsid w:val="002369EE"/>
    <w:rsid w:val="00241E0F"/>
    <w:rsid w:val="00283B6A"/>
    <w:rsid w:val="00292CE4"/>
    <w:rsid w:val="00296D50"/>
    <w:rsid w:val="00297947"/>
    <w:rsid w:val="002C357E"/>
    <w:rsid w:val="002D708F"/>
    <w:rsid w:val="002E0528"/>
    <w:rsid w:val="0030467D"/>
    <w:rsid w:val="00310D14"/>
    <w:rsid w:val="00376B72"/>
    <w:rsid w:val="003E14FE"/>
    <w:rsid w:val="003E61A4"/>
    <w:rsid w:val="0043283E"/>
    <w:rsid w:val="0045403E"/>
    <w:rsid w:val="00493196"/>
    <w:rsid w:val="004D3D4D"/>
    <w:rsid w:val="004E0C49"/>
    <w:rsid w:val="004F014F"/>
    <w:rsid w:val="00500562"/>
    <w:rsid w:val="00514603"/>
    <w:rsid w:val="0053169B"/>
    <w:rsid w:val="00575297"/>
    <w:rsid w:val="005A0BA5"/>
    <w:rsid w:val="005B7E8D"/>
    <w:rsid w:val="005C1130"/>
    <w:rsid w:val="005E1E1C"/>
    <w:rsid w:val="0062724D"/>
    <w:rsid w:val="0065597F"/>
    <w:rsid w:val="0067406D"/>
    <w:rsid w:val="00685EE2"/>
    <w:rsid w:val="006A4021"/>
    <w:rsid w:val="006B49CA"/>
    <w:rsid w:val="006F1E99"/>
    <w:rsid w:val="007266E5"/>
    <w:rsid w:val="007343CE"/>
    <w:rsid w:val="0075647C"/>
    <w:rsid w:val="007578F1"/>
    <w:rsid w:val="00785D8D"/>
    <w:rsid w:val="007A01A5"/>
    <w:rsid w:val="007B75E1"/>
    <w:rsid w:val="0080181F"/>
    <w:rsid w:val="00833033"/>
    <w:rsid w:val="009422A3"/>
    <w:rsid w:val="009934B7"/>
    <w:rsid w:val="009A4D74"/>
    <w:rsid w:val="009F25CF"/>
    <w:rsid w:val="00A345A8"/>
    <w:rsid w:val="00A71615"/>
    <w:rsid w:val="00A81F8A"/>
    <w:rsid w:val="00B21AB2"/>
    <w:rsid w:val="00B235FC"/>
    <w:rsid w:val="00B31C28"/>
    <w:rsid w:val="00B5097D"/>
    <w:rsid w:val="00BD3706"/>
    <w:rsid w:val="00BF6D64"/>
    <w:rsid w:val="00C228F0"/>
    <w:rsid w:val="00C66DDF"/>
    <w:rsid w:val="00C7123E"/>
    <w:rsid w:val="00C87E07"/>
    <w:rsid w:val="00CE34FF"/>
    <w:rsid w:val="00CF0D98"/>
    <w:rsid w:val="00D23F96"/>
    <w:rsid w:val="00D55923"/>
    <w:rsid w:val="00D73305"/>
    <w:rsid w:val="00DA07B4"/>
    <w:rsid w:val="00DC377D"/>
    <w:rsid w:val="00DF42C6"/>
    <w:rsid w:val="00E17580"/>
    <w:rsid w:val="00E2716A"/>
    <w:rsid w:val="00E9015E"/>
    <w:rsid w:val="00ED0917"/>
    <w:rsid w:val="00F66F1E"/>
    <w:rsid w:val="00F81623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CA88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2</cp:revision>
  <cp:lastPrinted>2023-11-20T14:44:00Z</cp:lastPrinted>
  <dcterms:created xsi:type="dcterms:W3CDTF">2024-05-20T16:43:00Z</dcterms:created>
  <dcterms:modified xsi:type="dcterms:W3CDTF">2024-05-20T16:43:00Z</dcterms:modified>
  <dc:language>en-US</dc:language>
</cp:coreProperties>
</file>